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2A" w:rsidRPr="00CA188C" w:rsidRDefault="0013782A" w:rsidP="00CD2E67">
      <w:pPr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（文例１）</w:t>
      </w:r>
    </w:p>
    <w:p w:rsidR="00853A90" w:rsidRPr="00CA188C" w:rsidRDefault="00EE438A" w:rsidP="00CD2E67">
      <w:pPr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-118234</wp:posOffset>
                </wp:positionH>
                <wp:positionV relativeFrom="paragraph">
                  <wp:posOffset>57026</wp:posOffset>
                </wp:positionV>
                <wp:extent cx="6019800" cy="1573481"/>
                <wp:effectExtent l="0" t="0" r="1905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734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DF42" id="正方形/長方形 8" o:spid="_x0000_s1026" style="position:absolute;left:0;text-align:left;margin-left:-9.3pt;margin-top:4.5pt;width:474pt;height:1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" filled="f" strokecolor="black [3213]" strokeweight="1pt"/>
            </w:pict>
          </mc:Fallback>
        </mc:AlternateContent>
      </w:r>
      <w:r w:rsidR="00DB3C80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-58857</wp:posOffset>
            </wp:positionH>
            <wp:positionV relativeFrom="paragraph">
              <wp:posOffset>140155</wp:posOffset>
            </wp:positionV>
            <wp:extent cx="1591293" cy="1441906"/>
            <wp:effectExtent l="0" t="0" r="952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98" cy="1452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842" w:rsidRDefault="00EE438A" w:rsidP="00CD2E67">
      <w:pPr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1532255</wp:posOffset>
                </wp:positionH>
                <wp:positionV relativeFrom="paragraph">
                  <wp:posOffset>55880</wp:posOffset>
                </wp:positionV>
                <wp:extent cx="4162425" cy="1223158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22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22B6" w:rsidRPr="00C222B6" w:rsidRDefault="004732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この冬の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休暇は、まったり、ほっこり、ゆったりと</w:t>
                            </w:r>
                            <w:r w:rsidR="00E6391E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6391E" w:rsidRPr="00E6391E" w:rsidRDefault="00C222B6" w:rsidP="0047321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63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EE43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計画的な</w:t>
                            </w:r>
                            <w:r w:rsidR="00EE438A">
                              <w:rPr>
                                <w:sz w:val="24"/>
                                <w:szCs w:val="24"/>
                              </w:rPr>
                              <w:t>業務運営や</w:t>
                            </w:r>
                            <w:r w:rsidR="00EE43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休暇の</w:t>
                            </w:r>
                            <w:r w:rsidR="00EE438A">
                              <w:rPr>
                                <w:sz w:val="24"/>
                                <w:szCs w:val="24"/>
                              </w:rPr>
                              <w:t>分散化にも資する</w:t>
                            </w:r>
                          </w:p>
                          <w:p w:rsidR="00C222B6" w:rsidRPr="00C222B6" w:rsidRDefault="00E6391E" w:rsidP="0047321F">
                            <w:pPr>
                              <w:ind w:firstLineChars="100" w:firstLine="240"/>
                              <w:rPr>
                                <w:sz w:val="28"/>
                                <w:szCs w:val="28"/>
                              </w:rPr>
                            </w:pPr>
                            <w:r w:rsidRPr="00E63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E6391E">
                              <w:rPr>
                                <w:sz w:val="24"/>
                                <w:szCs w:val="24"/>
                              </w:rPr>
                              <w:t>年次有給休暇の計画的付与制度</w:t>
                            </w:r>
                            <w:r w:rsidRPr="00E63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E6391E">
                              <w:rPr>
                                <w:sz w:val="24"/>
                                <w:szCs w:val="24"/>
                              </w:rPr>
                              <w:t>の導入を</w:t>
                            </w:r>
                            <w:r w:rsidRPr="00E639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！</w:t>
                            </w:r>
                            <w:r w:rsidR="00C222B6" w:rsidRPr="00E6391E">
                              <w:rPr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20.65pt;margin-top:4.4pt;width:327.75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" fillcolor="white [3201]" stroked="f" strokeweight=".5pt">
                <v:textbox>
                  <w:txbxContent>
                    <w:p w:rsidR="00C222B6" w:rsidRPr="00C222B6" w:rsidRDefault="004732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この冬の</w:t>
                      </w:r>
                      <w:r>
                        <w:rPr>
                          <w:sz w:val="28"/>
                          <w:szCs w:val="28"/>
                        </w:rPr>
                        <w:t>休暇は、まったり、ほっこり、ゆったりと</w:t>
                      </w:r>
                      <w:r w:rsidR="00E6391E">
                        <w:rPr>
                          <w:sz w:val="28"/>
                          <w:szCs w:val="28"/>
                        </w:rPr>
                        <w:t>。</w:t>
                      </w:r>
                    </w:p>
                    <w:p w:rsidR="00E6391E" w:rsidRPr="00E6391E" w:rsidRDefault="00C222B6" w:rsidP="0047321F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6391E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EE438A">
                        <w:rPr>
                          <w:rFonts w:hint="eastAsia"/>
                          <w:sz w:val="24"/>
                          <w:szCs w:val="24"/>
                        </w:rPr>
                        <w:t>計画的な</w:t>
                      </w:r>
                      <w:r w:rsidR="00EE438A">
                        <w:rPr>
                          <w:sz w:val="24"/>
                          <w:szCs w:val="24"/>
                        </w:rPr>
                        <w:t>業務運営や</w:t>
                      </w:r>
                      <w:r w:rsidR="00EE438A">
                        <w:rPr>
                          <w:rFonts w:hint="eastAsia"/>
                          <w:sz w:val="24"/>
                          <w:szCs w:val="24"/>
                        </w:rPr>
                        <w:t>休暇の</w:t>
                      </w:r>
                      <w:r w:rsidR="00EE438A">
                        <w:rPr>
                          <w:sz w:val="24"/>
                          <w:szCs w:val="24"/>
                        </w:rPr>
                        <w:t>分散化にも資する</w:t>
                      </w:r>
                    </w:p>
                    <w:p w:rsidR="00C222B6" w:rsidRPr="00C222B6" w:rsidRDefault="00E6391E" w:rsidP="0047321F">
                      <w:pPr>
                        <w:ind w:firstLineChars="100" w:firstLine="240"/>
                        <w:rPr>
                          <w:sz w:val="28"/>
                          <w:szCs w:val="28"/>
                        </w:rPr>
                      </w:pPr>
                      <w:r w:rsidRPr="00E6391E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Pr="00E6391E">
                        <w:rPr>
                          <w:sz w:val="24"/>
                          <w:szCs w:val="24"/>
                        </w:rPr>
                        <w:t>年次有給休暇の計画的付与制度</w:t>
                      </w:r>
                      <w:r w:rsidRPr="00E6391E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Pr="00E6391E">
                        <w:rPr>
                          <w:sz w:val="24"/>
                          <w:szCs w:val="24"/>
                        </w:rPr>
                        <w:t>の導入を</w:t>
                      </w:r>
                      <w:r w:rsidRPr="00E6391E">
                        <w:rPr>
                          <w:rFonts w:hint="eastAsia"/>
                          <w:sz w:val="24"/>
                          <w:szCs w:val="24"/>
                        </w:rPr>
                        <w:t>！</w:t>
                      </w:r>
                      <w:r w:rsidR="00C222B6" w:rsidRPr="00E6391E">
                        <w:rPr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287842" w:rsidRDefault="00287842" w:rsidP="00CD2E67">
      <w:pPr>
        <w:rPr>
          <w:rFonts w:ascii="ＭＳ 明朝" w:eastAsia="ＭＳ 明朝" w:hAnsi="ＭＳ 明朝"/>
          <w:b/>
          <w:sz w:val="22"/>
          <w:szCs w:val="24"/>
        </w:rPr>
      </w:pPr>
    </w:p>
    <w:p w:rsidR="006971FA" w:rsidRPr="00CA188C" w:rsidRDefault="006971FA" w:rsidP="00CD2E67">
      <w:pPr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b/>
          <w:sz w:val="22"/>
          <w:szCs w:val="24"/>
        </w:rPr>
        <w:t>事業主の皆様へ</w:t>
      </w:r>
    </w:p>
    <w:p w:rsidR="001122D9" w:rsidRDefault="006971FA" w:rsidP="004D628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新型コロナウイルス感染症対策として、新しい生活様式が求められる中、新しい働き方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・休み方を実践するためには、</w:t>
      </w:r>
      <w:r w:rsidR="004D6282" w:rsidRPr="00CA188C">
        <w:rPr>
          <w:rFonts w:ascii="ＭＳ 明朝" w:eastAsia="ＭＳ 明朝" w:hAnsi="ＭＳ 明朝" w:hint="eastAsia"/>
          <w:sz w:val="22"/>
          <w:szCs w:val="24"/>
        </w:rPr>
        <w:t>計画的な業務運営に資する年次有給休暇の計画的付与制度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や、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労働者の様々な事情に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応じた柔軟な働き方・休み方に資する時間単位の年次有給休暇制度</w:t>
      </w:r>
      <w:r w:rsidR="0013782A" w:rsidRPr="00CA188C">
        <w:rPr>
          <w:rFonts w:ascii="ＭＳ 明朝" w:eastAsia="ＭＳ 明朝" w:hAnsi="ＭＳ 明朝" w:hint="eastAsia"/>
          <w:sz w:val="22"/>
          <w:szCs w:val="24"/>
        </w:rPr>
        <w:t>の導入が効果的です。</w:t>
      </w:r>
    </w:p>
    <w:p w:rsidR="00EE438A" w:rsidRPr="00EE438A" w:rsidRDefault="00EE438A" w:rsidP="004D628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また、休暇の分散化が求められているこの冬においては、計画的付与制度は休暇の分散化にもつながります。</w:t>
      </w:r>
    </w:p>
    <w:p w:rsidR="00EB096D" w:rsidRPr="00221FD2" w:rsidRDefault="00EB096D" w:rsidP="00EB096D">
      <w:pPr>
        <w:rPr>
          <w:rFonts w:ascii="ＭＳ 明朝" w:eastAsia="ＭＳ 明朝" w:hAnsi="ＭＳ 明朝"/>
          <w:sz w:val="22"/>
          <w:szCs w:val="24"/>
        </w:rPr>
      </w:pPr>
      <w:r w:rsidRPr="00221FD2">
        <w:rPr>
          <w:rFonts w:ascii="ＭＳ 明朝" w:eastAsia="ＭＳ 明朝" w:hAnsi="ＭＳ 明朝" w:hint="eastAsia"/>
          <w:szCs w:val="24"/>
        </w:rPr>
        <w:t xml:space="preserve">　</w:t>
      </w:r>
      <w:r w:rsidRPr="00221FD2">
        <w:rPr>
          <w:rFonts w:ascii="ＭＳ 明朝" w:eastAsia="ＭＳ 明朝" w:hAnsi="ＭＳ 明朝" w:hint="eastAsia"/>
          <w:sz w:val="22"/>
          <w:szCs w:val="24"/>
        </w:rPr>
        <w:t xml:space="preserve">【問い合わせ先】三重労働局雇用環境・均等室 指導班 </w:t>
      </w:r>
      <w:r w:rsidRPr="00221FD2">
        <w:rPr>
          <w:rFonts w:ascii="ＭＳ 明朝" w:eastAsia="ＭＳ 明朝" w:hAnsi="ＭＳ 明朝"/>
          <w:sz w:val="22"/>
          <w:szCs w:val="24"/>
        </w:rPr>
        <w:t>059-226-2110</w:t>
      </w:r>
    </w:p>
    <w:p w:rsidR="001122D9" w:rsidRPr="00EB096D" w:rsidRDefault="001122D9" w:rsidP="00CD2E67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1122D9" w:rsidRPr="00CA188C" w:rsidRDefault="00CA443E" w:rsidP="00CD2E67">
      <w:pPr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（文例２）</w:t>
      </w:r>
    </w:p>
    <w:p w:rsidR="00CA188C" w:rsidRPr="00CA188C" w:rsidRDefault="00EE438A" w:rsidP="00CD2E67">
      <w:pPr>
        <w:rPr>
          <w:rFonts w:ascii="ＭＳ 明朝" w:eastAsia="ＭＳ 明朝" w:hAnsi="ＭＳ 明朝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628972</wp:posOffset>
            </wp:positionH>
            <wp:positionV relativeFrom="paragraph">
              <wp:posOffset>7175</wp:posOffset>
            </wp:positionV>
            <wp:extent cx="4423558" cy="23335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558" cy="2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A188C" w:rsidRDefault="00CA188C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E4D76" w:rsidRDefault="00CE4D76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E4D76" w:rsidRDefault="00CE4D76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E4D76" w:rsidRDefault="00CE4D76" w:rsidP="00CF7A19">
      <w:pPr>
        <w:rPr>
          <w:rFonts w:ascii="ＭＳ 明朝" w:eastAsia="ＭＳ 明朝" w:hAnsi="ＭＳ 明朝"/>
          <w:b/>
          <w:sz w:val="22"/>
          <w:szCs w:val="24"/>
        </w:rPr>
      </w:pPr>
    </w:p>
    <w:p w:rsidR="00CF7A19" w:rsidRPr="00CA188C" w:rsidRDefault="00CF7A19" w:rsidP="00CF7A19">
      <w:pPr>
        <w:rPr>
          <w:rFonts w:ascii="ＭＳ 明朝" w:eastAsia="ＭＳ 明朝" w:hAnsi="ＭＳ 明朝"/>
          <w:b/>
          <w:sz w:val="22"/>
          <w:szCs w:val="24"/>
        </w:rPr>
      </w:pPr>
      <w:r w:rsidRPr="00CA188C">
        <w:rPr>
          <w:rFonts w:ascii="ＭＳ 明朝" w:eastAsia="ＭＳ 明朝" w:hAnsi="ＭＳ 明朝" w:hint="eastAsia"/>
          <w:b/>
          <w:sz w:val="22"/>
          <w:szCs w:val="24"/>
        </w:rPr>
        <w:t>事業主の皆様へ</w:t>
      </w:r>
    </w:p>
    <w:p w:rsidR="00CF7A19" w:rsidRDefault="00CF7A19" w:rsidP="00CF7A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A188C">
        <w:rPr>
          <w:rFonts w:ascii="ＭＳ 明朝" w:eastAsia="ＭＳ 明朝" w:hAnsi="ＭＳ 明朝" w:hint="eastAsia"/>
          <w:sz w:val="22"/>
          <w:szCs w:val="24"/>
        </w:rPr>
        <w:t>新型コロナウイルス感染症対策として、新しい生活様式が求められる中、新しい働き方・休み方を実践するためには、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計画的な業務運営に資する年次有給休暇の計画的付与制度（※１</w:t>
      </w:r>
      <w:r w:rsidR="0081779A">
        <w:rPr>
          <w:rFonts w:ascii="ＭＳ 明朝" w:eastAsia="ＭＳ 明朝" w:hAnsi="ＭＳ 明朝" w:hint="eastAsia"/>
          <w:sz w:val="22"/>
          <w:szCs w:val="24"/>
        </w:rPr>
        <w:t>、２</w:t>
      </w:r>
      <w:r w:rsidR="00E1661F" w:rsidRPr="00CA188C">
        <w:rPr>
          <w:rFonts w:ascii="ＭＳ 明朝" w:eastAsia="ＭＳ 明朝" w:hAnsi="ＭＳ 明朝" w:hint="eastAsia"/>
          <w:sz w:val="22"/>
          <w:szCs w:val="24"/>
        </w:rPr>
        <w:t>）や、</w:t>
      </w:r>
      <w:r w:rsidRPr="00CA188C">
        <w:rPr>
          <w:rFonts w:ascii="ＭＳ 明朝" w:eastAsia="ＭＳ 明朝" w:hAnsi="ＭＳ 明朝" w:hint="eastAsia"/>
          <w:sz w:val="22"/>
          <w:szCs w:val="24"/>
        </w:rPr>
        <w:t>労働者の様々な事情に応じた柔軟な働き方・休み方に資する時間単位の年次有給休暇制度</w:t>
      </w:r>
      <w:r w:rsidR="0081779A">
        <w:rPr>
          <w:rFonts w:ascii="ＭＳ 明朝" w:eastAsia="ＭＳ 明朝" w:hAnsi="ＭＳ 明朝" w:hint="eastAsia"/>
          <w:sz w:val="22"/>
          <w:szCs w:val="24"/>
        </w:rPr>
        <w:t>（※３</w:t>
      </w:r>
      <w:r w:rsidR="00C002FF" w:rsidRPr="00CA188C">
        <w:rPr>
          <w:rFonts w:ascii="ＭＳ 明朝" w:eastAsia="ＭＳ 明朝" w:hAnsi="ＭＳ 明朝" w:hint="eastAsia"/>
          <w:sz w:val="22"/>
          <w:szCs w:val="24"/>
        </w:rPr>
        <w:t>）</w:t>
      </w:r>
      <w:r w:rsidRPr="00CA188C">
        <w:rPr>
          <w:rFonts w:ascii="ＭＳ 明朝" w:eastAsia="ＭＳ 明朝" w:hAnsi="ＭＳ 明朝" w:hint="eastAsia"/>
          <w:sz w:val="22"/>
          <w:szCs w:val="24"/>
        </w:rPr>
        <w:t>の導入が効果的です。</w:t>
      </w:r>
    </w:p>
    <w:p w:rsidR="00EE438A" w:rsidRPr="00CA188C" w:rsidRDefault="00EE438A" w:rsidP="00CF7A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EE438A">
        <w:rPr>
          <w:rFonts w:ascii="ＭＳ 明朝" w:eastAsia="ＭＳ 明朝" w:hAnsi="ＭＳ 明朝"/>
          <w:sz w:val="22"/>
          <w:szCs w:val="24"/>
        </w:rPr>
        <w:t>また、休暇の分散化が求められている</w:t>
      </w:r>
      <w:r w:rsidRPr="00EE438A">
        <w:rPr>
          <w:rFonts w:ascii="ＭＳ 明朝" w:eastAsia="ＭＳ 明朝" w:hAnsi="ＭＳ 明朝" w:hint="eastAsia"/>
          <w:sz w:val="22"/>
          <w:szCs w:val="24"/>
        </w:rPr>
        <w:t>この冬においては、計画的付与制度は休暇の分散化にもつながります。</w:t>
      </w:r>
    </w:p>
    <w:p w:rsidR="00EB096D" w:rsidRPr="00221FD2" w:rsidRDefault="00EB096D" w:rsidP="00EB096D">
      <w:pPr>
        <w:rPr>
          <w:rFonts w:ascii="ＭＳ 明朝" w:eastAsia="ＭＳ 明朝" w:hAnsi="ＭＳ 明朝"/>
          <w:sz w:val="22"/>
          <w:szCs w:val="24"/>
        </w:rPr>
      </w:pPr>
      <w:r w:rsidRPr="00221FD2">
        <w:rPr>
          <w:rFonts w:ascii="ＭＳ 明朝" w:eastAsia="ＭＳ 明朝" w:hAnsi="ＭＳ 明朝" w:hint="eastAsia"/>
          <w:szCs w:val="24"/>
        </w:rPr>
        <w:t xml:space="preserve">　</w:t>
      </w:r>
      <w:r w:rsidRPr="00221FD2">
        <w:rPr>
          <w:rFonts w:ascii="ＭＳ 明朝" w:eastAsia="ＭＳ 明朝" w:hAnsi="ＭＳ 明朝" w:hint="eastAsia"/>
          <w:sz w:val="22"/>
          <w:szCs w:val="24"/>
        </w:rPr>
        <w:t xml:space="preserve">【問い合わせ先】三重労働局雇用環境・均等室 指導班 </w:t>
      </w:r>
      <w:r w:rsidRPr="00221FD2">
        <w:rPr>
          <w:rFonts w:ascii="ＭＳ 明朝" w:eastAsia="ＭＳ 明朝" w:hAnsi="ＭＳ 明朝"/>
          <w:sz w:val="22"/>
          <w:szCs w:val="24"/>
        </w:rPr>
        <w:t>059-226-2110</w:t>
      </w:r>
    </w:p>
    <w:p w:rsidR="00CF7A19" w:rsidRPr="00CA188C" w:rsidRDefault="00CF7A19" w:rsidP="00CF7A19">
      <w:pPr>
        <w:rPr>
          <w:rFonts w:ascii="ＭＳ 明朝" w:eastAsia="ＭＳ 明朝" w:hAnsi="ＭＳ 明朝" w:hint="eastAsia"/>
          <w:sz w:val="22"/>
          <w:szCs w:val="24"/>
        </w:rPr>
      </w:pPr>
    </w:p>
    <w:p w:rsidR="00E1661F" w:rsidRPr="00EE438A" w:rsidRDefault="00E1661F" w:rsidP="00C002FF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EE438A">
        <w:rPr>
          <w:rFonts w:ascii="ＭＳ 明朝" w:eastAsia="ＭＳ 明朝" w:hAnsi="ＭＳ 明朝" w:hint="eastAsia"/>
          <w:szCs w:val="24"/>
        </w:rPr>
        <w:t>（※１）年次有給休暇の付与日数のうち、５日を除いた残りの日数については、労使協定を締結すれば、計画的に取得日を割り振ることができる制度です。この制度を導入している企業は導入していない企業よりも</w:t>
      </w:r>
      <w:r w:rsidR="00595894" w:rsidRPr="00EE438A">
        <w:rPr>
          <w:rFonts w:ascii="ＭＳ 明朝" w:eastAsia="ＭＳ 明朝" w:hAnsi="ＭＳ 明朝" w:hint="eastAsia"/>
          <w:szCs w:val="24"/>
        </w:rPr>
        <w:t>年次有給休暇</w:t>
      </w:r>
      <w:r w:rsidRPr="00EE438A">
        <w:rPr>
          <w:rFonts w:ascii="ＭＳ 明朝" w:eastAsia="ＭＳ 明朝" w:hAnsi="ＭＳ 明朝" w:hint="eastAsia"/>
          <w:szCs w:val="24"/>
        </w:rPr>
        <w:t>の平均取得率が</w:t>
      </w:r>
      <w:r w:rsidR="00DB3C80" w:rsidRPr="00EE438A">
        <w:rPr>
          <w:rFonts w:ascii="ＭＳ 明朝" w:eastAsia="ＭＳ 明朝" w:hAnsi="ＭＳ 明朝" w:hint="eastAsia"/>
          <w:szCs w:val="24"/>
        </w:rPr>
        <w:t>平成31</w:t>
      </w:r>
      <w:r w:rsidR="00225717" w:rsidRPr="00EE438A">
        <w:rPr>
          <w:rFonts w:ascii="ＭＳ 明朝" w:eastAsia="ＭＳ 明朝" w:hAnsi="ＭＳ 明朝" w:hint="eastAsia"/>
          <w:szCs w:val="24"/>
        </w:rPr>
        <w:t>年調査</w:t>
      </w:r>
      <w:r w:rsidRPr="00EE438A">
        <w:rPr>
          <w:rFonts w:ascii="ＭＳ 明朝" w:eastAsia="ＭＳ 明朝" w:hAnsi="ＭＳ 明朝" w:hint="eastAsia"/>
          <w:szCs w:val="24"/>
        </w:rPr>
        <w:t>では4.7ポイント高くなっています。</w:t>
      </w:r>
    </w:p>
    <w:p w:rsidR="0081779A" w:rsidRPr="00EE438A" w:rsidRDefault="0081779A" w:rsidP="0081779A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EE438A">
        <w:rPr>
          <w:rFonts w:ascii="ＭＳ 明朝" w:eastAsia="ＭＳ 明朝" w:hAnsi="ＭＳ 明朝" w:hint="eastAsia"/>
          <w:szCs w:val="24"/>
        </w:rPr>
        <w:t>（※２）年次有給休暇の計画的付与制度がある企業割合は、令和２年調査では4</w:t>
      </w:r>
      <w:r w:rsidRPr="00EE438A">
        <w:rPr>
          <w:rFonts w:ascii="ＭＳ 明朝" w:eastAsia="ＭＳ 明朝" w:hAnsi="ＭＳ 明朝"/>
          <w:szCs w:val="24"/>
        </w:rPr>
        <w:t>3.2</w:t>
      </w:r>
      <w:r w:rsidRPr="00EE438A">
        <w:rPr>
          <w:rFonts w:ascii="ＭＳ 明朝" w:eastAsia="ＭＳ 明朝" w:hAnsi="ＭＳ 明朝" w:hint="eastAsia"/>
          <w:szCs w:val="24"/>
        </w:rPr>
        <w:t>％と、前年調査より21.0ポイント増加しています。</w:t>
      </w:r>
    </w:p>
    <w:p w:rsidR="00CD2E67" w:rsidRPr="00EE438A" w:rsidRDefault="00E1661F" w:rsidP="00287842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EE438A">
        <w:rPr>
          <w:rFonts w:ascii="ＭＳ 明朝" w:eastAsia="ＭＳ 明朝" w:hAnsi="ＭＳ 明朝" w:hint="eastAsia"/>
          <w:szCs w:val="24"/>
        </w:rPr>
        <w:t>（※</w:t>
      </w:r>
      <w:r w:rsidR="0081779A" w:rsidRPr="00EE438A">
        <w:rPr>
          <w:rFonts w:ascii="ＭＳ 明朝" w:eastAsia="ＭＳ 明朝" w:hAnsi="ＭＳ 明朝" w:hint="eastAsia"/>
          <w:szCs w:val="24"/>
        </w:rPr>
        <w:t>３</w:t>
      </w:r>
      <w:r w:rsidR="00C002FF" w:rsidRPr="00EE438A">
        <w:rPr>
          <w:rFonts w:ascii="ＭＳ 明朝" w:eastAsia="ＭＳ 明朝" w:hAnsi="ＭＳ 明朝" w:hint="eastAsia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EE438A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FF" w:rsidRDefault="005725FF" w:rsidP="00E27A63">
      <w:r>
        <w:separator/>
      </w:r>
    </w:p>
  </w:endnote>
  <w:endnote w:type="continuationSeparator" w:id="0">
    <w:p w:rsidR="005725FF" w:rsidRDefault="005725F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FF" w:rsidRDefault="005725FF" w:rsidP="00E27A63">
      <w:r>
        <w:separator/>
      </w:r>
    </w:p>
  </w:footnote>
  <w:footnote w:type="continuationSeparator" w:id="0">
    <w:p w:rsidR="005725FF" w:rsidRDefault="005725F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77"/>
    <w:rsid w:val="001122D9"/>
    <w:rsid w:val="0013782A"/>
    <w:rsid w:val="00156F4A"/>
    <w:rsid w:val="001670E0"/>
    <w:rsid w:val="00193A2F"/>
    <w:rsid w:val="00225717"/>
    <w:rsid w:val="002263F0"/>
    <w:rsid w:val="00287842"/>
    <w:rsid w:val="002941B6"/>
    <w:rsid w:val="002C44B2"/>
    <w:rsid w:val="003D6217"/>
    <w:rsid w:val="004409B6"/>
    <w:rsid w:val="0047321F"/>
    <w:rsid w:val="004D6282"/>
    <w:rsid w:val="005725FF"/>
    <w:rsid w:val="00595894"/>
    <w:rsid w:val="00617782"/>
    <w:rsid w:val="006971FA"/>
    <w:rsid w:val="006F147C"/>
    <w:rsid w:val="007807BD"/>
    <w:rsid w:val="0080298B"/>
    <w:rsid w:val="00805996"/>
    <w:rsid w:val="0081779A"/>
    <w:rsid w:val="00853A90"/>
    <w:rsid w:val="008666FF"/>
    <w:rsid w:val="009B104F"/>
    <w:rsid w:val="00B132FC"/>
    <w:rsid w:val="00BD496C"/>
    <w:rsid w:val="00C002FF"/>
    <w:rsid w:val="00C05BF0"/>
    <w:rsid w:val="00C222B6"/>
    <w:rsid w:val="00CA188C"/>
    <w:rsid w:val="00CA443E"/>
    <w:rsid w:val="00CA6C7A"/>
    <w:rsid w:val="00CC1385"/>
    <w:rsid w:val="00CD2332"/>
    <w:rsid w:val="00CD2E67"/>
    <w:rsid w:val="00CE4540"/>
    <w:rsid w:val="00CE4D76"/>
    <w:rsid w:val="00CF7A19"/>
    <w:rsid w:val="00D4058C"/>
    <w:rsid w:val="00DA4068"/>
    <w:rsid w:val="00DB3C80"/>
    <w:rsid w:val="00E1661F"/>
    <w:rsid w:val="00E27A63"/>
    <w:rsid w:val="00E6391E"/>
    <w:rsid w:val="00EB096D"/>
    <w:rsid w:val="00EC1CC3"/>
    <w:rsid w:val="00EE438A"/>
    <w:rsid w:val="00F73877"/>
    <w:rsid w:val="00F777BA"/>
    <w:rsid w:val="00F8407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A46250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9ED8-2962-4992-A77A-2015B7E0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嘉寿満(takahashi-kazumitsu)</dc:creator>
  <cp:keywords/>
  <dc:description/>
  <cp:lastModifiedBy>笹本 健太(sasamoto-kenta)</cp:lastModifiedBy>
  <cp:revision>13</cp:revision>
  <cp:lastPrinted>2020-11-11T07:20:00Z</cp:lastPrinted>
  <dcterms:created xsi:type="dcterms:W3CDTF">2020-08-05T12:30:00Z</dcterms:created>
  <dcterms:modified xsi:type="dcterms:W3CDTF">2020-11-15T23:43:00Z</dcterms:modified>
</cp:coreProperties>
</file>